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B0" w:rsidRDefault="00F137B0">
      <w:pPr>
        <w:rPr>
          <w:rFonts w:ascii="Helvetica" w:hAnsi="Helvetica"/>
          <w:color w:val="373E4D"/>
          <w:sz w:val="18"/>
          <w:szCs w:val="18"/>
          <w:shd w:val="clear" w:color="auto" w:fill="F6F7F8"/>
        </w:rPr>
      </w:pPr>
    </w:p>
    <w:p w:rsidR="00892573" w:rsidRDefault="00892573" w:rsidP="00892573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C0BF6">
        <w:rPr>
          <w:noProof/>
          <w:lang w:eastAsia="pt-BR"/>
        </w:rPr>
        <w:drawing>
          <wp:inline distT="0" distB="0" distL="0" distR="0">
            <wp:extent cx="800100" cy="971550"/>
            <wp:effectExtent l="0" t="0" r="0" b="0"/>
            <wp:docPr id="1" name="Imagem 1" descr="In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Iníc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73" w:rsidRDefault="00892573" w:rsidP="00892573">
      <w:pPr>
        <w:spacing w:after="0" w:line="240" w:lineRule="auto"/>
        <w:ind w:left="1800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92573" w:rsidRDefault="00892573" w:rsidP="00892573">
      <w:pPr>
        <w:spacing w:after="0" w:line="240" w:lineRule="auto"/>
        <w:ind w:left="1800"/>
        <w:jc w:val="center"/>
        <w:rPr>
          <w:rFonts w:cs="Tahoma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-2540</wp:posOffset>
            </wp:positionV>
            <wp:extent cx="101981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385" y="20661"/>
                <wp:lineTo x="21385" y="0"/>
                <wp:lineTo x="0" y="0"/>
              </wp:wrapPolygon>
            </wp:wrapThrough>
            <wp:docPr id="2" name="Imagem 2" descr="http://www.memoria.cnpq.br/img/logomarca/logo_m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ww.memoria.cnpq.br/img/logomarca/logo_mn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65"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Grupo de Estudos e Pesquisas em Educação e Direitos Humanos </w:t>
      </w:r>
      <w:r>
        <w:rPr>
          <w:rFonts w:cs="Tahoma"/>
          <w:b/>
          <w:color w:val="000000"/>
          <w:sz w:val="24"/>
          <w:szCs w:val="24"/>
          <w:shd w:val="clear" w:color="auto" w:fill="FFFFFF"/>
        </w:rPr>
        <w:t>(</w:t>
      </w:r>
      <w:r w:rsidRPr="00762E65">
        <w:rPr>
          <w:rFonts w:cs="Tahoma"/>
          <w:b/>
          <w:color w:val="000000"/>
          <w:sz w:val="24"/>
          <w:szCs w:val="24"/>
          <w:shd w:val="clear" w:color="auto" w:fill="FFFFFF"/>
        </w:rPr>
        <w:t>UFPB/CNPq</w:t>
      </w:r>
      <w:r>
        <w:rPr>
          <w:rFonts w:cs="Tahoma"/>
          <w:b/>
          <w:color w:val="000000"/>
          <w:sz w:val="24"/>
          <w:szCs w:val="24"/>
          <w:shd w:val="clear" w:color="auto" w:fill="FFFFFF"/>
        </w:rPr>
        <w:t>) e a SOPECE – SOCIEDADE PERNAMBUCANA DE CULTURA E ENSINO</w:t>
      </w:r>
    </w:p>
    <w:p w:rsidR="00892573" w:rsidRDefault="00892573" w:rsidP="00892573">
      <w:pPr>
        <w:spacing w:after="0" w:line="240" w:lineRule="auto"/>
        <w:ind w:left="1800"/>
        <w:jc w:val="center"/>
        <w:rPr>
          <w:rFonts w:cs="Tahoma"/>
          <w:b/>
          <w:color w:val="000000"/>
          <w:sz w:val="24"/>
          <w:szCs w:val="24"/>
          <w:shd w:val="clear" w:color="auto" w:fill="FFFFFF"/>
        </w:rPr>
      </w:pPr>
      <w:r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                                 </w:t>
      </w:r>
      <w:proofErr w:type="gramStart"/>
      <w:r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( </w:t>
      </w:r>
      <w:r w:rsidRPr="00BD43E6">
        <w:rPr>
          <w:rFonts w:cs="Tahoma"/>
          <w:b/>
          <w:i/>
          <w:color w:val="000000"/>
          <w:sz w:val="24"/>
          <w:szCs w:val="24"/>
          <w:shd w:val="clear" w:color="auto" w:fill="FFFFFF"/>
        </w:rPr>
        <w:t>in</w:t>
      </w:r>
      <w:proofErr w:type="gramEnd"/>
      <w:r w:rsidRPr="00BD43E6">
        <w:rPr>
          <w:rFonts w:cs="Tahoma"/>
          <w:b/>
          <w:i/>
          <w:color w:val="000000"/>
          <w:sz w:val="24"/>
          <w:szCs w:val="24"/>
          <w:shd w:val="clear" w:color="auto" w:fill="FFFFFF"/>
        </w:rPr>
        <w:t xml:space="preserve"> memoriam</w:t>
      </w:r>
      <w:r>
        <w:rPr>
          <w:rFonts w:cs="Tahoma"/>
          <w:b/>
          <w:color w:val="000000"/>
          <w:sz w:val="24"/>
          <w:szCs w:val="24"/>
          <w:shd w:val="clear" w:color="auto" w:fill="FFFFFF"/>
        </w:rPr>
        <w:t xml:space="preserve"> Pinto Ferreira) promovem:</w:t>
      </w:r>
    </w:p>
    <w:p w:rsidR="00892573" w:rsidRPr="00762E65" w:rsidRDefault="00892573" w:rsidP="00892573">
      <w:pPr>
        <w:spacing w:after="0" w:line="240" w:lineRule="auto"/>
        <w:ind w:left="1800"/>
        <w:rPr>
          <w:b/>
          <w:sz w:val="24"/>
          <w:szCs w:val="24"/>
        </w:rPr>
      </w:pPr>
    </w:p>
    <w:p w:rsidR="00892573" w:rsidRDefault="00892573" w:rsidP="00892573">
      <w:pPr>
        <w:jc w:val="center"/>
        <w:rPr>
          <w:b/>
          <w:noProof/>
          <w:sz w:val="24"/>
          <w:szCs w:val="24"/>
          <w:lang w:eastAsia="pt-BR"/>
        </w:rPr>
      </w:pPr>
      <w:r w:rsidRPr="00563CF2">
        <w:rPr>
          <w:b/>
          <w:noProof/>
          <w:sz w:val="24"/>
          <w:szCs w:val="24"/>
          <w:lang w:eastAsia="pt-BR"/>
        </w:rPr>
        <w:t xml:space="preserve">SEMINÁRIO SOBRE </w:t>
      </w:r>
      <w:r>
        <w:rPr>
          <w:b/>
          <w:noProof/>
          <w:sz w:val="24"/>
          <w:szCs w:val="24"/>
          <w:lang w:eastAsia="pt-BR"/>
        </w:rPr>
        <w:t xml:space="preserve">CONTROLE DA ADMINISTRAÇÃO PÚBLICA E COMBATE À CORRUPÇÃO </w:t>
      </w:r>
    </w:p>
    <w:p w:rsidR="00F137B0" w:rsidRPr="00F137B0" w:rsidRDefault="00F137B0" w:rsidP="002D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137B0" w:rsidRPr="00F137B0" w:rsidRDefault="00F137B0" w:rsidP="00F137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de publicação </w:t>
      </w: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Tema do concurso: "</w:t>
      </w:r>
      <w:r w:rsidR="00D23B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Controle da Admi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nistração e Combate à Corrupção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I</w:t>
      </w:r>
    </w:p>
    <w:p w:rsidR="00F137B0" w:rsidRPr="00F137B0" w:rsidRDefault="00F137B0" w:rsidP="00F137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Disposições Gerais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 de Estudos e Pesquisas em Educação e Direitos Humanos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cadastrado na Universidade Federal da Paraíba, Programa de Pós-Graduação em Ciências Jurídicas, e certificado pelo CNPq,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torna público o Processo Seletivo de Artigos Científicos 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 Controle da Administração e Combate à Corrupção.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Objetiva este concurso selecionar artigos científicos para 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publicação em livro sobre a matéria Controle da Administração e Combate à Corrupção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ser lançado 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2016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 banca examinadora, presidida pela profa. Dra. Maria Creusa de Araújo Borges, Líder do Grupo de Pesquisa, selecionará os artigos a serem publ</w:t>
      </w:r>
      <w:r w:rsidR="00770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icados no livro, no dia 03 de outubro de 2015. Constitui requisito para avaliação do artigo a inscrição no Seminário </w:t>
      </w:r>
      <w:r w:rsidR="00770C9C" w:rsidRPr="00770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Controle da Administração e Combate à Corrupção</w:t>
      </w:r>
      <w:r w:rsidR="00770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70C9C" w:rsidRPr="00F137B0" w:rsidRDefault="00770C9C" w:rsidP="00770C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</w:t>
      </w: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normas especiais para seleção e publicação das contribuições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são: letra tamanho 12, Times New Roman, parágrafo 1,5, número mínimo de páginas 15, máximo 20.</w:t>
      </w:r>
    </w:p>
    <w:p w:rsidR="00770C9C" w:rsidRPr="00F137B0" w:rsidRDefault="00770C9C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II</w:t>
      </w:r>
    </w:p>
    <w:p w:rsidR="00F137B0" w:rsidRPr="00F137B0" w:rsidRDefault="00F137B0" w:rsidP="00F137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inscrições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4º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70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Podem se inscrever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este concurso os graduandos, mestrandos e doutorandos regularmente matriculados em instituição de ensino superior, pátria ou estrangeira, que </w:t>
      </w:r>
      <w:r w:rsidR="00770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estiverem inscritos no Seminário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artigo, dentro das especificações deste edital, até o prazo final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70C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="00A273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setembro de 2015.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Serão aceitos textos em autoria simples; ou em coautoria, limitada, nesse caso, a apenas um único coautor.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5° 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Apenas será permitida a inscrição de um artigo científico por candidatura.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Veda-se que um candidato que já tenha inscrito um artigo científico, neste mesmo concurso, participe como coautor em outro concorrente. 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6º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prazo final para a apresentação do disposto no art. 4º são as 23 h 59 min (vinte e três horas e cinquenta e nove minutos), do dia </w:t>
      </w:r>
      <w:r w:rsidR="00C272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33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 de 2015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 O meio utilizado para apresentação da ficha de inscrição e do artigo científico para este concurso será o eletrônico, por e-mail.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2º O endereço de e-mail para envio será </w:t>
      </w:r>
      <w:r w:rsidR="00733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mcaborges@gmail.com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3º O </w:t>
      </w:r>
      <w:r w:rsidR="00733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Grupo de Pesquisa não se responsabilizará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caso de solicitação de inscrição não recebida por motivos de ordem técnica dos computadores, falhas de comunicação, congestionamento das linhas de comunicação, bem como outros fatores que impossibilitem a transferência de dados, não havendo, até eventual ulterior comunicado oficial, prorrogação do prazo apontado.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7º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ficha de inscrição </w:t>
      </w:r>
      <w:r w:rsidR="00733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 ser solicitada pelo email mcaborges@gmail.com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33EB7" w:rsidRPr="00F137B0" w:rsidRDefault="00F137B0" w:rsidP="00733EB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r w:rsidR="00733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733EB7"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A apresentação da ficha de inscrição em formato divergente acarretará a desclassificação automática do concorrente.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r w:rsidR="00733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2º 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caso de co-autoria, deverá constar no e-mail a ficha de inscrição de ambos os autores.</w:t>
      </w:r>
    </w:p>
    <w:p w:rsidR="00770C9C" w:rsidRDefault="00770C9C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 Deverá ser paga a quantia de sessenta reais para fins de custeio do Seminário e da Publicação.</w:t>
      </w:r>
    </w:p>
    <w:p w:rsidR="00770C9C" w:rsidRPr="00F137B0" w:rsidRDefault="00770C9C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III</w:t>
      </w:r>
    </w:p>
    <w:p w:rsidR="00F137B0" w:rsidRPr="00F137B0" w:rsidRDefault="00F137B0" w:rsidP="00F137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Dos artigos</w:t>
      </w:r>
    </w:p>
    <w:p w:rsidR="00F137B0" w:rsidRPr="00F137B0" w:rsidRDefault="00F137B0" w:rsidP="00733EB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8º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artigos concorrentes deverão seguir a temática geral do concurso: “</w:t>
      </w:r>
      <w:r w:rsidR="00733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Controle 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9º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serão aceitos artigos desacompanhados de ficha de inscrição, do contrário, incorrerá em desclassificação automática.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10 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corpo textual do artigo não poderá haver nenhum tipo de referência direta ou indireta que permita o reconhecimento do autor inscrito, sob pena de sumária desclassificação.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11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formatação do artigo se dará no padrão estabelecido pelas normas indicadas no Art. 2° deste edital.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Art. 12 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artigo científico não deverá conter capa.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IV</w:t>
      </w:r>
    </w:p>
    <w:p w:rsidR="00F137B0" w:rsidRPr="00F137B0" w:rsidRDefault="00F137B0" w:rsidP="00F137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Classificação e Aprovação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13 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classificados os artigos científicos que obtiverem, em ordem decrescente, as 80% maiores médias.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14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Serão aprovados para publicação os Artigos Científicos que obtiverem as dez maiores notas, conforme o critério de classificação previsto no Art. 13. 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15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Caso haja menos que dez candidatos classificados conforme o Art. 13, a aprovação para publicação seguirá o critério da maior nota obtida. 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16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Caso haja empate quanto ao décimo colocado, ambos os Artigos serão aprovados para publicação.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VII</w:t>
      </w:r>
    </w:p>
    <w:p w:rsidR="00F137B0" w:rsidRPr="00F137B0" w:rsidRDefault="00F137B0" w:rsidP="00F137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Resultado e da Divulgação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17 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Divulgar-se-á a identidade dos vencedores, bem como dos membros do Conselho Editorial, no dia </w:t>
      </w:r>
      <w:r w:rsidR="00733E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 de outubro de 2015, no Auditório da SOPECE (Pinto Ferreira, em Recife)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VI</w:t>
      </w:r>
    </w:p>
    <w:p w:rsidR="00F137B0" w:rsidRPr="00F137B0" w:rsidRDefault="00F137B0" w:rsidP="00F137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Disposições Finais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19 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Qualquer omissão ou dúvida quanto a este regulamento e suas preleções serão cabidas à Comissão Editorial, pelo endereço eletrônico </w:t>
      </w:r>
      <w:r w:rsidR="002D20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mcaborges@gmail.com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20 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vedado aos vencedores do concurso de artigos a publicação de seus respectivos textos em outros meios, sejam eles impressos ou eletrônicos, sendo exigida a exclusividade.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 Os concorrentes que não tiverem seus artigos publicados terão absoluta liberdade para dispor destes como quiserem.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2ª A inscrição neste concurso presume a concordância do autor com a publicação do trabalho, sendo, portanto, descabido qualquer pleito de remuneração a título de direitos autorais.</w:t>
      </w:r>
    </w:p>
    <w:p w:rsidR="00F137B0" w:rsidRPr="00F137B0" w:rsidRDefault="00F137B0" w:rsidP="00F137B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21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Coordenação Científica poderá requerer adaptações na formatação ou na revisão dos artigos, caso sejam escolhidos ou premiados, como condições imperativas à posterior publicação.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João Pessoa, </w:t>
      </w:r>
      <w:r w:rsidR="002D20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2D20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2014.</w:t>
      </w:r>
    </w:p>
    <w:p w:rsidR="00F137B0" w:rsidRDefault="002D2091" w:rsidP="002D209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Profa. Dra. Maria Creusa de Araújo Borges</w:t>
      </w:r>
    </w:p>
    <w:p w:rsidR="002D2091" w:rsidRPr="00F137B0" w:rsidRDefault="002D2091" w:rsidP="002D20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Líder do Grupo de Estudos e Pesquisas em Educação e Direitos Humanos (UFPB/CNPq)</w:t>
      </w:r>
    </w:p>
    <w:p w:rsidR="00F137B0" w:rsidRPr="00F137B0" w:rsidRDefault="00F137B0" w:rsidP="00892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bookmarkStart w:id="0" w:name="_GoBack"/>
      <w:bookmarkEnd w:id="0"/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F137B0" w:rsidRPr="00F137B0" w:rsidRDefault="00F137B0" w:rsidP="00F1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 de Inscrição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Completo:__________________________________________________________________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de Nascimento:___/___/____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CPF:____.____.____-___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Endereço:________________________________________________________________________________________________________________________________________________________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E-mail:__________________________________________________________________________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Telefone: (__</w:t>
      </w:r>
      <w:proofErr w:type="gramStart"/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_)_</w:t>
      </w:r>
      <w:proofErr w:type="gramEnd"/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_____-______.</w:t>
      </w:r>
    </w:p>
    <w:p w:rsidR="00F137B0" w:rsidRPr="00F137B0" w:rsidRDefault="00F137B0" w:rsidP="00F137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Instituição de Ensino:______________________________________________________________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Formação: </w:t>
      </w:r>
      <w:proofErr w:type="gramStart"/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[  ]</w:t>
      </w:r>
      <w:proofErr w:type="gramEnd"/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Graduando [  ] Mestrando [  ] Doutorando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Matrícula:_________________</w:t>
      </w: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37B0" w:rsidRPr="00F137B0" w:rsidRDefault="00F137B0" w:rsidP="00F1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37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urrícu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37B0" w:rsidRDefault="00F137B0"/>
    <w:sectPr w:rsidR="00F137B0" w:rsidSect="00F93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7B0"/>
    <w:rsid w:val="0010530C"/>
    <w:rsid w:val="002D2091"/>
    <w:rsid w:val="005A4666"/>
    <w:rsid w:val="00641F03"/>
    <w:rsid w:val="00733EB7"/>
    <w:rsid w:val="00770C9C"/>
    <w:rsid w:val="00892573"/>
    <w:rsid w:val="00A27341"/>
    <w:rsid w:val="00C272E3"/>
    <w:rsid w:val="00D23BC4"/>
    <w:rsid w:val="00F137B0"/>
    <w:rsid w:val="00F9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0A03-9DF2-4FBE-904A-3EE7BE4D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cp:lastPrinted>2015-08-17T14:00:00Z</cp:lastPrinted>
  <dcterms:created xsi:type="dcterms:W3CDTF">2015-08-17T14:41:00Z</dcterms:created>
  <dcterms:modified xsi:type="dcterms:W3CDTF">2015-08-17T14:41:00Z</dcterms:modified>
</cp:coreProperties>
</file>